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C1" w:rsidRPr="0038676E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7900C1" w:rsidRPr="0038676E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645E39" w:rsidRPr="0038676E" w:rsidRDefault="00645E39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645E39" w:rsidRPr="0038676E" w:rsidRDefault="00645E39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645E39" w:rsidRPr="0038676E" w:rsidRDefault="00645E39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645E39" w:rsidRPr="0038676E" w:rsidRDefault="00645E39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7900C1" w:rsidRPr="0038676E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38676E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:rsidR="007900C1" w:rsidRPr="0038676E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38676E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:rsidR="00645E39" w:rsidRPr="0038676E" w:rsidRDefault="00645E39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7900C1" w:rsidRPr="0038676E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38676E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:rsidR="007900C1" w:rsidRPr="0038676E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645E39" w:rsidRPr="0038676E" w:rsidRDefault="00645E39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:rsidR="00645E39" w:rsidRPr="0038676E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38676E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Špecifikácia rozsahu oprávnených </w:t>
      </w:r>
    </w:p>
    <w:p w:rsidR="007900C1" w:rsidRPr="0038676E" w:rsidRDefault="00B505EC" w:rsidP="00645E39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38676E">
        <w:rPr>
          <w:rFonts w:asciiTheme="minorHAnsi" w:hAnsiTheme="minorHAnsi" w:cstheme="minorHAnsi"/>
          <w:b/>
          <w:color w:val="1F497D"/>
          <w:sz w:val="36"/>
          <w:szCs w:val="36"/>
        </w:rPr>
        <w:t>aktivít a oprávnených výdavkov</w:t>
      </w:r>
      <w:r w:rsidR="00645E39" w:rsidRPr="0038676E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(</w:t>
      </w:r>
      <w:r w:rsidR="007900C1" w:rsidRPr="0038676E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verzia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63456937C472452AA8BF3E5DFC6C83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Content>
          <w:r w:rsidR="00E64C0E" w:rsidRPr="0038676E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  <w:r w:rsidR="00645E39" w:rsidRPr="0038676E">
        <w:rPr>
          <w:rFonts w:asciiTheme="minorHAnsi" w:hAnsiTheme="minorHAnsi" w:cstheme="minorHAnsi"/>
          <w:b/>
          <w:color w:val="1F497D"/>
          <w:sz w:val="36"/>
          <w:szCs w:val="36"/>
        </w:rPr>
        <w:t>)</w:t>
      </w:r>
    </w:p>
    <w:p w:rsidR="007900C1" w:rsidRPr="0038676E" w:rsidRDefault="007900C1" w:rsidP="007900C1">
      <w:pPr>
        <w:rPr>
          <w:rFonts w:asciiTheme="minorHAnsi" w:hAnsiTheme="minorHAnsi" w:cstheme="minorHAnsi"/>
          <w:b/>
          <w:sz w:val="28"/>
        </w:rPr>
      </w:pPr>
    </w:p>
    <w:p w:rsidR="007900C1" w:rsidRPr="0038676E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:rsidR="007900C1" w:rsidRPr="0038676E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38676E" w:rsidSect="00437D96">
          <w:headerReference w:type="default" r:id="rId8"/>
          <w:footerReference w:type="default" r:id="rId9"/>
          <w:headerReference w:type="first" r:id="rId10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:rsidR="008C0C85" w:rsidRPr="0038676E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676E">
        <w:rPr>
          <w:rFonts w:asciiTheme="minorHAnsi" w:hAnsiTheme="minorHAnsi" w:cstheme="minorHAnsi"/>
          <w:b/>
          <w:sz w:val="28"/>
        </w:rPr>
        <w:lastRenderedPageBreak/>
        <w:t>Špecifikácia rozsahu oprávnenej aktivity a oprávnených výdavkov</w:t>
      </w:r>
    </w:p>
    <w:p w:rsidR="007900C1" w:rsidRPr="0038676E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:rsidR="00D80A8E" w:rsidRPr="0038676E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/>
      </w:tblPr>
      <w:tblGrid>
        <w:gridCol w:w="14601"/>
      </w:tblGrid>
      <w:tr w:rsidR="007A1D28" w:rsidRPr="0038676E" w:rsidTr="00773273">
        <w:tc>
          <w:tcPr>
            <w:tcW w:w="14601" w:type="dxa"/>
            <w:shd w:val="clear" w:color="auto" w:fill="A6A6A6" w:themeFill="background1" w:themeFillShade="A6"/>
          </w:tcPr>
          <w:p w:rsidR="007A1D28" w:rsidRPr="0038676E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:rsidR="007A1D28" w:rsidRPr="0038676E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38676E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:rsidR="007A1D28" w:rsidRPr="0038676E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:rsidR="007A1D28" w:rsidRPr="0038676E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38676E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38676E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:rsidR="007A1D28" w:rsidRPr="0038676E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38676E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38676E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38676E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38676E">
              <w:rPr>
                <w:rFonts w:asciiTheme="minorHAnsi" w:hAnsiTheme="minorHAnsi" w:cstheme="minorHAnsi"/>
                <w:szCs w:val="22"/>
                <w:vertAlign w:val="superscript"/>
                <w:lang w:val="sk-SK"/>
              </w:rPr>
              <w:footnoteReference w:id="2"/>
            </w:r>
            <w:r w:rsidRPr="0038676E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:rsidR="007A1D28" w:rsidRPr="0038676E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:rsidR="007A1D28" w:rsidRPr="0038676E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:rsidR="00D41226" w:rsidRPr="0038676E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38676E"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38676E"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38676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:rsidR="007900C1" w:rsidRPr="0038676E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p w:rsidR="00645E39" w:rsidRPr="0038676E" w:rsidRDefault="00645E39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/>
      </w:tblPr>
      <w:tblGrid>
        <w:gridCol w:w="6063"/>
        <w:gridCol w:w="8647"/>
      </w:tblGrid>
      <w:tr w:rsidR="00856D01" w:rsidRPr="0038676E" w:rsidTr="00114544">
        <w:trPr>
          <w:cnfStyle w:val="100000000000"/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38676E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bookmarkStart w:id="0" w:name="_GoBack"/>
            <w:bookmarkEnd w:id="0"/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5.1.1 - Zvýšenie zamestnanosti na miestnej úrovni podporou podnikania a</w:t>
            </w:r>
            <w:r w:rsid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inovácii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38676E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38676E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</w:t>
            </w:r>
            <w:r w:rsid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inovácií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38676E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:rsidR="00856D01" w:rsidRPr="0038676E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:rsidR="00856D01" w:rsidRPr="0038676E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:rsidR="00856D01" w:rsidRPr="0038676E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</w:t>
            </w:r>
            <w:r w:rsidR="00645E39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marketingových</w:t>
            </w:r>
            <w:r w:rsidR="00645E39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aktivít,</w:t>
            </w:r>
          </w:p>
          <w:p w:rsidR="000950EA" w:rsidRPr="0038676E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:rsidR="000950EA" w:rsidRPr="0038676E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0950EA" w:rsidRPr="0038676E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:rsidR="00F64E2F" w:rsidRPr="0038676E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10 – Výroba potravín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11 – Výroba nápojov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:rsidR="00F64E2F" w:rsidRPr="0038676E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extrateritoriálnych organizácií a združení – celá sekcia neoprávnená</w:t>
            </w:r>
          </w:p>
          <w:p w:rsidR="00F64E2F" w:rsidRPr="0038676E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D30727" w:rsidRPr="0038676E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</w:p>
          <w:p w:rsidR="00F64E2F" w:rsidRPr="0038676E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38676E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:rsidR="00F64E2F" w:rsidRPr="0038676E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oblasť lesníctva, rybolovu a akvakultúry, vidieckeho</w:t>
            </w:r>
            <w:r w:rsidR="00645E39"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cestovného</w:t>
            </w:r>
            <w:r w:rsidR="00645E39"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ruchu a </w:t>
            </w:r>
            <w:r w:rsidRPr="0038676E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potravinárstva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38676E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:rsidR="00856D01" w:rsidRPr="0038676E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38676E" w:rsidRDefault="00856D01" w:rsidP="00773273">
            <w:pPr>
              <w:spacing w:before="40" w:after="40"/>
              <w:ind w:left="85"/>
              <w:cnfStyle w:val="00000000000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38676E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224D63" w:rsidRPr="0038676E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:rsidR="00856D01" w:rsidRPr="0038676E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38676E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38676E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:rsidR="00545CDC" w:rsidRPr="0038676E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38676E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D41226" w:rsidRPr="0038676E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D41226" w:rsidRPr="0038676E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automobilov a iných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dopravných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prostriedkov</w:t>
            </w:r>
          </w:p>
          <w:p w:rsidR="00D41226" w:rsidRPr="0038676E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:rsidR="00847D27" w:rsidRPr="0038676E" w:rsidRDefault="009277A2">
            <w:pPr>
              <w:pStyle w:val="Default"/>
              <w:widowControl w:val="0"/>
              <w:ind w:left="17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Nákup</w:t>
            </w:r>
            <w:r w:rsidR="00645E39"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vozidiel</w:t>
            </w:r>
            <w:r w:rsidR="00645E39"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cestnej</w:t>
            </w:r>
            <w:r w:rsidR="00645E39"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nákladnej</w:t>
            </w:r>
            <w:r w:rsidR="00645E39"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dopravy</w:t>
            </w:r>
            <w:r w:rsidR="00645E39"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 </w:t>
            </w:r>
            <w:r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>nie je oprávnený</w:t>
            </w:r>
            <w:r w:rsidR="00D41226" w:rsidRPr="0038676E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.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Uvedené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sa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týka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výlučne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žiadateľov, ktorí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pôsobia v oblasti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cestnej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nákladnej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dopravy. Nákup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nákladného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vozidla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na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prepravu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materiálu, alebo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tovaru pre účely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žiadateľa, teda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nie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úplatu pre tretie</w:t>
            </w:r>
            <w:r w:rsidR="00645E3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D41226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subjekty je oprávnený.</w:t>
            </w:r>
          </w:p>
        </w:tc>
      </w:tr>
      <w:tr w:rsidR="00856D01" w:rsidRPr="0038676E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38676E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38676E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:rsidR="00856D01" w:rsidRPr="0038676E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38676E" w:rsidTr="00114544">
        <w:trPr>
          <w:trHeight w:val="246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47D27" w:rsidRPr="0038676E" w:rsidRDefault="00856D01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5A67D1" w:rsidRPr="0038676E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38676E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:rsidR="005A67D1" w:rsidRPr="0038676E" w:rsidRDefault="005A67D1" w:rsidP="00884FC7">
            <w:pPr>
              <w:pStyle w:val="Default"/>
              <w:widowControl w:val="0"/>
              <w:ind w:left="720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:rsidR="00856D01" w:rsidRPr="0038676E" w:rsidRDefault="0038676E" w:rsidP="0038676E">
            <w:pPr>
              <w:pStyle w:val="Default"/>
              <w:widowControl w:val="0"/>
              <w:ind w:left="289" w:hanging="142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  </w:t>
            </w:r>
            <w:r w:rsidR="005A67D1" w:rsidRPr="0038676E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38676E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</w:t>
            </w:r>
            <w:r w:rsidR="005A67D1" w:rsidRPr="0038676E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38676E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:rsidR="00856D01" w:rsidRPr="0038676E" w:rsidRDefault="00856D01" w:rsidP="00645E39">
      <w:pPr>
        <w:rPr>
          <w:rFonts w:asciiTheme="minorHAnsi" w:hAnsiTheme="minorHAnsi" w:cstheme="minorHAnsi"/>
          <w:b/>
          <w:sz w:val="24"/>
        </w:rPr>
      </w:pPr>
    </w:p>
    <w:sectPr w:rsidR="00856D01" w:rsidRPr="0038676E" w:rsidSect="00114544">
      <w:head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125" w:rsidRDefault="00F33125" w:rsidP="007900C1">
      <w:r>
        <w:separator/>
      </w:r>
    </w:p>
  </w:endnote>
  <w:endnote w:type="continuationSeparator" w:id="1">
    <w:p w:rsidR="00F33125" w:rsidRDefault="00F33125" w:rsidP="00790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5" w:rsidRDefault="00847D27" w:rsidP="00437D96">
    <w:pPr>
      <w:pStyle w:val="Pta"/>
      <w:jc w:val="right"/>
    </w:pPr>
    <w:r>
      <w:rPr>
        <w:noProof/>
        <w:lang w:eastAsia="sk-SK"/>
      </w:rPr>
      <w:pict>
        <v:line id="Rovná spojnica 11" o:spid="_x0000_s2049" style="position:absolute;left:0;text-align:left;flip:y;z-index:251669504;visibility:visible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<v:stroke joinstyle="miter"/>
        </v:line>
      </w:pict>
    </w:r>
  </w:p>
  <w:p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Content>
        <w:r w:rsidR="00847D27">
          <w:fldChar w:fldCharType="begin"/>
        </w:r>
        <w:r>
          <w:instrText>PAGE   \* MERGEFORMAT</w:instrText>
        </w:r>
        <w:r w:rsidR="00847D27">
          <w:fldChar w:fldCharType="separate"/>
        </w:r>
        <w:r w:rsidR="0038676E">
          <w:rPr>
            <w:noProof/>
          </w:rPr>
          <w:t>3</w:t>
        </w:r>
        <w:r w:rsidR="00847D27"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125" w:rsidRDefault="00F33125" w:rsidP="007900C1">
      <w:r>
        <w:separator/>
      </w:r>
    </w:p>
  </w:footnote>
  <w:footnote w:type="continuationSeparator" w:id="1">
    <w:p w:rsidR="00F33125" w:rsidRDefault="00F33125" w:rsidP="007900C1">
      <w:r>
        <w:continuationSeparator/>
      </w:r>
    </w:p>
  </w:footnote>
  <w:footnote w:id="2">
    <w:p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76425" w:rsidRDefault="00A76425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8" name="Obrázo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76425" w:rsidRPr="00687FF8" w:rsidRDefault="00A76425" w:rsidP="00437D96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  <w15:person w15:author="pb">
    <w15:presenceInfo w15:providerId="None" w15:userId="pb"/>
  </w15:person>
  <w15:person w15:author="Šupáková Petra">
    <w15:presenceInfo w15:providerId="AD" w15:userId="S-1-5-21-3495560190-2307090886-770446312-10964"/>
  </w15:person>
  <w15:person w15:author="RO">
    <w15:presenceInfo w15:providerId="None" w15:userId="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8676E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45E39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47D27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277A2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43AE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3312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456937C472452AA8BF3E5DFC6C83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BF8A6-5300-4AE9-ACDC-D84426F70104}"/>
      </w:docPartPr>
      <w:docPartBody>
        <w:p w:rsidR="00C239CD" w:rsidRDefault="00FA3451" w:rsidP="00FA3451">
          <w:pPr>
            <w:pStyle w:val="63456937C472452AA8BF3E5DFC6C831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FA3451"/>
    <w:rsid w:val="00140015"/>
    <w:rsid w:val="00227AF1"/>
    <w:rsid w:val="002F6BEE"/>
    <w:rsid w:val="0032715C"/>
    <w:rsid w:val="003E08B2"/>
    <w:rsid w:val="00417A6B"/>
    <w:rsid w:val="004A5A74"/>
    <w:rsid w:val="00591493"/>
    <w:rsid w:val="00652C1E"/>
    <w:rsid w:val="006B0230"/>
    <w:rsid w:val="007F4CA2"/>
    <w:rsid w:val="008509E2"/>
    <w:rsid w:val="00912F4B"/>
    <w:rsid w:val="0099100D"/>
    <w:rsid w:val="00BC5E7D"/>
    <w:rsid w:val="00BE09F6"/>
    <w:rsid w:val="00C15262"/>
    <w:rsid w:val="00C239CD"/>
    <w:rsid w:val="00CC3EBF"/>
    <w:rsid w:val="00D07F7A"/>
    <w:rsid w:val="00D64974"/>
    <w:rsid w:val="00DE6D6B"/>
    <w:rsid w:val="00F306EB"/>
    <w:rsid w:val="00F6380C"/>
    <w:rsid w:val="00F835B9"/>
    <w:rsid w:val="00FA3451"/>
    <w:rsid w:val="00FB1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E09F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CAD741CA88794FA7AFEB1B6FB0AD75E9">
    <w:name w:val="CAD741CA88794FA7AFEB1B6FB0AD75E9"/>
    <w:rsid w:val="00FA3451"/>
  </w:style>
  <w:style w:type="paragraph" w:customStyle="1" w:styleId="63456937C472452AA8BF3E5DFC6C8317">
    <w:name w:val="63456937C472452AA8BF3E5DFC6C8317"/>
    <w:rsid w:val="00FA3451"/>
  </w:style>
  <w:style w:type="paragraph" w:customStyle="1" w:styleId="25245076B2C94A94BA3D6B27C1C9E1B8">
    <w:name w:val="25245076B2C94A94BA3D6B27C1C9E1B8"/>
    <w:rsid w:val="00FA3451"/>
  </w:style>
  <w:style w:type="paragraph" w:customStyle="1" w:styleId="0B2B3757D6034C90B9884BDB3A995E50">
    <w:name w:val="0B2B3757D6034C90B9884BDB3A995E50"/>
    <w:rsid w:val="00FA3451"/>
  </w:style>
  <w:style w:type="paragraph" w:customStyle="1" w:styleId="A0F65407170540DBA6753409FEB7AD99">
    <w:name w:val="A0F65407170540DBA6753409FEB7AD99"/>
    <w:rsid w:val="00FA3451"/>
  </w:style>
  <w:style w:type="paragraph" w:customStyle="1" w:styleId="0941BAF71A6748C484615BD23CDDD25C">
    <w:name w:val="0941BAF71A6748C484615BD23CDDD25C"/>
    <w:rsid w:val="00FA3451"/>
  </w:style>
  <w:style w:type="paragraph" w:customStyle="1" w:styleId="A250C6ED7FE940FABBB9B10DB968095D">
    <w:name w:val="A250C6ED7FE940FABBB9B10DB968095D"/>
    <w:rsid w:val="00FA3451"/>
  </w:style>
  <w:style w:type="paragraph" w:customStyle="1" w:styleId="C886F875CB1D44BF80DF69ED042DA934">
    <w:name w:val="C886F875CB1D44BF80DF69ED042DA934"/>
    <w:rsid w:val="00FA3451"/>
  </w:style>
  <w:style w:type="paragraph" w:customStyle="1" w:styleId="C711CF767CF64BE19886881903B077B8">
    <w:name w:val="C711CF767CF64BE19886881903B077B8"/>
    <w:rsid w:val="00FA345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5087C-702A-488C-B65B-23050C3E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Misko</cp:lastModifiedBy>
  <cp:revision>3</cp:revision>
  <dcterms:created xsi:type="dcterms:W3CDTF">2020-03-20T00:33:00Z</dcterms:created>
  <dcterms:modified xsi:type="dcterms:W3CDTF">2020-03-20T00:37:00Z</dcterms:modified>
</cp:coreProperties>
</file>